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8C" w:rsidRDefault="00A6208C" w:rsidP="00A6208C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Оппозиционные парламентские партии обратились в Администрацию президента с просьбой не допустить изменения схемы формирования региональных парламентов. В настоящее время Тульское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заксобрание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уже изменило схему, при которой значительно увеличивается число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одномандатников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>. Похожие поправки обсуждаются в Волгоградской области, Марий Эл и Хабаровском крае. Партийцы опасаются, что из-за снижения рейтингов «Единой России» эта тенденция может распространиться на все регионы, где пройдут выборы в 2019 году. В «Единой России» заявляют, что изменения коснутся менее 10% территорий. «Собеседник» попросил прокомментировать ситуацию члена Президиума, секретаря ЦК КПРФ Сергея Обухова:</w:t>
      </w:r>
    </w:p>
    <w:p w:rsidR="00A6208C" w:rsidRDefault="00A6208C" w:rsidP="00A6208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Сокращение доли партсписков в региональных парламентах не может не вызывать тревогу, — говорит Обухов. —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Раньше (например, на парламентских выборах — 2016.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—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Ред.) их доля была 50 на 50.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И вот теперь в Туле уже утверждено 30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списочников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на 70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одномандатников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в Марий Эл примерно также, в Хабаровске хотят сделать чуть ли не 25 на 75. Скажем так, жульничество здесь очевидно. Вспомним отчетную цифру «Единой России» в 2016 году: она выступила хорошо, но она проиграла.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И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тем не менее набрала 70% мандатов.</w:t>
      </w:r>
    </w:p>
    <w:p w:rsidR="00A6208C" w:rsidRDefault="00A6208C" w:rsidP="00A6208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— Ну, мы видим, как сейчас обстоят дела в Госдуме, и знаем, что этот успех обеспечили ЕР именно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одномандатники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. Есть опасения, что на выборах в региональные парламенты будет задействована та же схема, только </w:t>
      </w:r>
      <w:proofErr w:type="gramStart"/>
      <w:r>
        <w:rPr>
          <w:rFonts w:ascii="Arial" w:hAnsi="Arial" w:cs="Arial"/>
          <w:b/>
          <w:bCs/>
          <w:color w:val="222222"/>
          <w:sz w:val="21"/>
          <w:szCs w:val="21"/>
        </w:rPr>
        <w:t>более усиленная</w:t>
      </w:r>
      <w:proofErr w:type="gram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за счет увеличения численности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одномандатников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>?</w:t>
      </w:r>
    </w:p>
    <w:p w:rsidR="00A6208C" w:rsidRDefault="00A6208C" w:rsidP="00A6208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Именно. Хотя времена меняются, но если договорились о принципах, то давайте их соблюдать. И если договорились о списках 50 на 50, давайте придерживаться. В той же Туле по спискам будет только 30%, но не забываем, что рейтинг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Дюмина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там 70%. Если уж его так любят, то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должны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и «Единую Россию» любить взасос. Но не получается, видимо.</w:t>
      </w:r>
    </w:p>
    <w:p w:rsidR="00A6208C" w:rsidRDefault="00A6208C" w:rsidP="00A6208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Сейчас все политологи, эксперты и общество судят о соотношении сил именно по партспискам. А одномандатные округа — это деньги, деньги и еще раз деньги. Кстати, всюду сейчас идет увеличение лимита на затраты по одномандатным округам. «Единая Россия» попросту снова задавит финансовым и административным ресурсом.</w:t>
      </w:r>
    </w:p>
    <w:p w:rsidR="00A6208C" w:rsidRDefault="00A6208C" w:rsidP="00A6208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— Но сейчас рейтинг «Единой России» в весьма плачевном состоянии. Думаете, это не повлияет на результаты голосований?</w:t>
      </w:r>
    </w:p>
    <w:p w:rsidR="00A6208C" w:rsidRDefault="00A6208C" w:rsidP="00A6208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«Единая Россия» — это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аватар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администрации президента. Можно ли сказать, что Путин сейчас в плачевном состоянии? Наверное, нет. Рейтинг у него, конечно, пощипан пенсионной реформой, но достаточный для управления. Ресурсы есть,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админресурс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есть,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зомбоящик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работает, какой-то запас прочности еще сохраняется. И они попытаются оттянуть одеяло изменением соотношения сил в региональных парламентах, — говорит Обухов.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8C"/>
    <w:rsid w:val="00051949"/>
    <w:rsid w:val="00441924"/>
    <w:rsid w:val="00A6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2019-02-14T16:21:00Z</dcterms:created>
  <dcterms:modified xsi:type="dcterms:W3CDTF">2019-02-14T16:22:00Z</dcterms:modified>
</cp:coreProperties>
</file>